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E43122" w:rsidTr="00CD4B32">
        <w:trPr>
          <w:trHeight w:val="1975"/>
        </w:trPr>
        <w:tc>
          <w:tcPr>
            <w:tcW w:w="2410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310234" w:rsidRDefault="00310234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2"/>
                <w:szCs w:val="22"/>
              </w:rPr>
            </w:pPr>
          </w:p>
          <w:p w:rsidR="00D1291A" w:rsidRPr="00310234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18"/>
                <w:szCs w:val="18"/>
              </w:rPr>
            </w:pPr>
            <w:r w:rsidRPr="00310234">
              <w:rPr>
                <w:rFonts w:ascii="Calibri" w:hAnsi="Calibri"/>
                <w:sz w:val="18"/>
                <w:szCs w:val="18"/>
              </w:rPr>
              <w:t>Srbská republika</w:t>
            </w:r>
          </w:p>
          <w:p w:rsidR="00D1291A" w:rsidRPr="00310234" w:rsidRDefault="00D1291A" w:rsidP="001F5F77">
            <w:pPr>
              <w:rPr>
                <w:rFonts w:ascii="Calibri" w:hAnsi="Calibri"/>
                <w:sz w:val="18"/>
                <w:szCs w:val="18"/>
              </w:rPr>
            </w:pPr>
            <w:r w:rsidRPr="00310234">
              <w:rPr>
                <w:rFonts w:ascii="Calibri" w:hAnsi="Calibri"/>
                <w:sz w:val="18"/>
                <w:szCs w:val="18"/>
              </w:rPr>
              <w:t xml:space="preserve">Autonómna </w:t>
            </w:r>
            <w:proofErr w:type="spellStart"/>
            <w:r w:rsidRPr="00310234">
              <w:rPr>
                <w:rFonts w:ascii="Calibri" w:hAnsi="Calibri"/>
                <w:sz w:val="18"/>
                <w:szCs w:val="18"/>
              </w:rPr>
              <w:t>pokrajina</w:t>
            </w:r>
            <w:proofErr w:type="spellEnd"/>
            <w:r w:rsidRPr="00310234">
              <w:rPr>
                <w:rFonts w:ascii="Calibri" w:hAnsi="Calibri"/>
                <w:sz w:val="18"/>
                <w:szCs w:val="18"/>
              </w:rPr>
              <w:t xml:space="preserve"> Vojvodina</w:t>
            </w:r>
          </w:p>
          <w:p w:rsidR="00D1291A" w:rsidRPr="00310234" w:rsidRDefault="00D1291A" w:rsidP="001F5F77">
            <w:pPr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310234">
              <w:rPr>
                <w:rFonts w:ascii="Calibri" w:hAnsi="Calibri"/>
                <w:b/>
                <w:sz w:val="18"/>
                <w:szCs w:val="18"/>
              </w:rPr>
              <w:t>Pokrajinský</w:t>
            </w:r>
            <w:proofErr w:type="spellEnd"/>
            <w:r w:rsidRPr="00310234">
              <w:rPr>
                <w:rFonts w:ascii="Calibri" w:hAnsi="Calibri"/>
                <w:b/>
                <w:sz w:val="18"/>
                <w:szCs w:val="18"/>
              </w:rPr>
              <w:t xml:space="preserve"> sekretariát vzdelávania, predpisov,</w:t>
            </w:r>
          </w:p>
          <w:p w:rsidR="00D1291A" w:rsidRPr="00310234" w:rsidRDefault="00D1291A" w:rsidP="001F5F77">
            <w:pPr>
              <w:rPr>
                <w:rFonts w:ascii="Calibri" w:hAnsi="Calibri"/>
                <w:b/>
                <w:sz w:val="18"/>
                <w:szCs w:val="18"/>
              </w:rPr>
            </w:pPr>
            <w:r w:rsidRPr="00310234">
              <w:rPr>
                <w:rFonts w:ascii="Calibri" w:hAnsi="Calibri"/>
                <w:b/>
                <w:sz w:val="18"/>
                <w:szCs w:val="18"/>
              </w:rPr>
              <w:t>správy a národnostných menšín – národnostných spoločenstiev</w:t>
            </w:r>
          </w:p>
          <w:p w:rsidR="00D1291A" w:rsidRPr="00310234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18"/>
                <w:szCs w:val="18"/>
              </w:rPr>
            </w:pPr>
            <w:r w:rsidRPr="00310234">
              <w:rPr>
                <w:rFonts w:ascii="Calibri" w:hAnsi="Calibri"/>
                <w:sz w:val="18"/>
                <w:szCs w:val="18"/>
              </w:rPr>
              <w:t xml:space="preserve">Bulvár </w:t>
            </w:r>
            <w:proofErr w:type="spellStart"/>
            <w:r w:rsidRPr="00310234">
              <w:rPr>
                <w:rFonts w:ascii="Calibri" w:hAnsi="Calibri"/>
                <w:sz w:val="18"/>
                <w:szCs w:val="18"/>
              </w:rPr>
              <w:t>Mihajla</w:t>
            </w:r>
            <w:proofErr w:type="spellEnd"/>
            <w:r w:rsidRPr="00310234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310234">
              <w:rPr>
                <w:rFonts w:ascii="Calibri" w:hAnsi="Calibri"/>
                <w:sz w:val="18"/>
                <w:szCs w:val="18"/>
              </w:rPr>
              <w:t>Pupina</w:t>
            </w:r>
            <w:proofErr w:type="spellEnd"/>
            <w:r w:rsidRPr="00310234">
              <w:rPr>
                <w:rFonts w:ascii="Calibri" w:hAnsi="Calibri"/>
                <w:sz w:val="18"/>
                <w:szCs w:val="18"/>
              </w:rPr>
              <w:t xml:space="preserve"> 16, </w:t>
            </w:r>
            <w:r w:rsidRPr="00310234">
              <w:rPr>
                <w:rFonts w:ascii="Calibri" w:hAnsi="Calibri"/>
                <w:sz w:val="18"/>
                <w:szCs w:val="18"/>
              </w:rPr>
              <w:br/>
              <w:t>21 000 Nový Sad</w:t>
            </w:r>
          </w:p>
          <w:p w:rsidR="00D1291A" w:rsidRPr="00310234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18"/>
                <w:szCs w:val="18"/>
              </w:rPr>
            </w:pPr>
            <w:r w:rsidRPr="00310234">
              <w:rPr>
                <w:rFonts w:ascii="Calibri" w:hAnsi="Calibri"/>
                <w:sz w:val="18"/>
                <w:szCs w:val="18"/>
              </w:rPr>
              <w:t>T: +381 21  487  46 14, 487 40 36, 487 43 36</w:t>
            </w:r>
          </w:p>
          <w:p w:rsidR="00D1291A" w:rsidRPr="00310234" w:rsidRDefault="008974AB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18"/>
                <w:szCs w:val="18"/>
              </w:rPr>
            </w:pPr>
            <w:hyperlink r:id="rId8" w:history="1">
              <w:r w:rsidR="000A074F" w:rsidRPr="00310234">
                <w:rPr>
                  <w:rStyle w:val="Hyperlink"/>
                  <w:rFonts w:ascii="Calibri" w:hAnsi="Calibri"/>
                  <w:sz w:val="18"/>
                  <w:szCs w:val="18"/>
                </w:rPr>
                <w:t>ounz@vojvodinа.gov.rs</w:t>
              </w:r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310234" w:rsidTr="00FE0351">
        <w:trPr>
          <w:trHeight w:val="426"/>
        </w:trPr>
        <w:tc>
          <w:tcPr>
            <w:tcW w:w="3402" w:type="dxa"/>
          </w:tcPr>
          <w:p w:rsidR="00D1291A" w:rsidRPr="00310234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  <w:sz w:val="18"/>
                <w:szCs w:val="18"/>
              </w:rPr>
            </w:pPr>
            <w:r w:rsidRPr="00310234">
              <w:rPr>
                <w:rFonts w:ascii="Calibri" w:hAnsi="Calibri"/>
                <w:color w:val="000000"/>
                <w:sz w:val="18"/>
                <w:szCs w:val="18"/>
              </w:rPr>
              <w:t xml:space="preserve"> ČÍSLO: 128-454-531/2023-04/4</w:t>
            </w:r>
          </w:p>
          <w:p w:rsidR="00D1291A" w:rsidRPr="00310234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sz w:val="18"/>
                <w:szCs w:val="18"/>
              </w:rPr>
            </w:pPr>
            <w:r w:rsidRPr="00310234">
              <w:rPr>
                <w:rFonts w:ascii="Calibri" w:hAnsi="Calibri"/>
                <w:color w:val="000000"/>
                <w:sz w:val="18"/>
                <w:szCs w:val="18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310234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sz w:val="18"/>
                <w:szCs w:val="18"/>
              </w:rPr>
            </w:pPr>
            <w:r w:rsidRPr="00310234">
              <w:rPr>
                <w:rFonts w:ascii="Calibri" w:hAnsi="Calibri"/>
                <w:color w:val="000000"/>
                <w:sz w:val="18"/>
                <w:szCs w:val="18"/>
              </w:rPr>
              <w:t xml:space="preserve">       </w:t>
            </w:r>
            <w:r w:rsidR="00310234">
              <w:rPr>
                <w:rFonts w:ascii="Calibri" w:hAnsi="Calibri"/>
                <w:color w:val="000000"/>
                <w:sz w:val="18"/>
                <w:szCs w:val="18"/>
              </w:rPr>
              <w:t xml:space="preserve">                       DÁTUM: </w:t>
            </w:r>
            <w:r w:rsidR="0052063D">
              <w:rPr>
                <w:rFonts w:ascii="Calibri" w:hAnsi="Calibri"/>
                <w:color w:val="000000"/>
                <w:sz w:val="18"/>
                <w:szCs w:val="18"/>
              </w:rPr>
              <w:t xml:space="preserve">22. </w:t>
            </w:r>
            <w:r w:rsidRPr="00310234">
              <w:rPr>
                <w:rFonts w:ascii="Calibri" w:hAnsi="Calibri"/>
                <w:color w:val="000000"/>
                <w:sz w:val="18"/>
                <w:szCs w:val="18"/>
              </w:rPr>
              <w:t>08. 2023</w:t>
            </w:r>
          </w:p>
          <w:p w:rsidR="00D1291A" w:rsidRPr="00310234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F721B0" w:rsidRPr="00310234" w:rsidRDefault="00D1291A" w:rsidP="00F93FE3">
      <w:pPr>
        <w:pStyle w:val="BlockText"/>
        <w:ind w:left="0" w:right="-12" w:firstLine="0"/>
        <w:rPr>
          <w:rFonts w:ascii="Calibri" w:hAnsi="Calibri" w:cs="Arial"/>
          <w:sz w:val="18"/>
          <w:szCs w:val="18"/>
        </w:rPr>
      </w:pPr>
      <w:r w:rsidRPr="00310234">
        <w:rPr>
          <w:rFonts w:ascii="Calibri" w:hAnsi="Calibri"/>
          <w:sz w:val="18"/>
          <w:szCs w:val="18"/>
        </w:rPr>
        <w:t xml:space="preserve">   </w:t>
      </w:r>
    </w:p>
    <w:p w:rsidR="00F721B0" w:rsidRDefault="00F721B0" w:rsidP="00F93FE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F721B0" w:rsidRDefault="00F721B0" w:rsidP="00F93FE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F93FE3" w:rsidRPr="00AD2C28" w:rsidRDefault="00F721B0" w:rsidP="00F93FE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Podľa článku 15, 16 odsek 1 a 5 a 24 odsek 2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</w:t>
      </w:r>
      <w:proofErr w:type="spellStart"/>
      <w:r>
        <w:rPr>
          <w:rFonts w:ascii="Calibri" w:hAnsi="Calibri"/>
          <w:sz w:val="22"/>
          <w:szCs w:val="22"/>
        </w:rPr>
        <w:t>pokrajinskej</w:t>
      </w:r>
      <w:proofErr w:type="spellEnd"/>
      <w:r>
        <w:rPr>
          <w:rFonts w:ascii="Calibri" w:hAnsi="Calibri"/>
          <w:sz w:val="22"/>
          <w:szCs w:val="22"/>
        </w:rPr>
        <w:t xml:space="preserve"> správe (Úradný vestník APV č. 37/14, 54/14 ‒ iný predpis, 37/16, 29/17, 24/19, 66/20 a 38/21), článku 23 odsek 1 a 4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rozpočte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 (Úradný vestník APV č. 54/22 a 27/2023 – opätovná bilancia) a článku 9 Pravidiel o pridelení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na financovanie a spoločné financovanie modernizácie infraštruktúry ustanovizní základnej a strednej výchovy a vzdelávania a žiackeho štandardu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(Úradný vestník APV číslo 7/23) a podľa uskutočneného Súbehu na financovanie a spolufinancovanie rekonštrukcií, adaptácií, sanácií, investícií a bežnej údržby budov základnej a strednej výchovy a vzdelávania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 číslo 128-454-531/2023-04 zo dňa 12. 7. 2023 (Úradný vestník číslo 30/2023) s Rozhodnutím o doplnení súbehu na financovanie a spolufinancovanie rekonštrukcie, adaptácie, sanácie, investícií a bežnej údržby objektov ustanovizní základnej a strednej výchovy a vzdelávania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 číslo 128-454-531/2023-04, ktoré bolo zverejnené dňa 12. 07. 2023 číslo 128-454-531/2023-04 zo dňa 25. 7. 2023 (Úradný vestník APV číslo 32/2023) </w:t>
      </w:r>
      <w:proofErr w:type="spellStart"/>
      <w:r>
        <w:rPr>
          <w:rFonts w:ascii="Calibri" w:hAnsi="Calibri"/>
          <w:sz w:val="22"/>
          <w:szCs w:val="22"/>
        </w:rPr>
        <w:t>pokrajinský</w:t>
      </w:r>
      <w:proofErr w:type="spellEnd"/>
      <w:r>
        <w:rPr>
          <w:rFonts w:ascii="Calibri" w:hAnsi="Calibri"/>
          <w:sz w:val="22"/>
          <w:szCs w:val="22"/>
        </w:rPr>
        <w:t xml:space="preserve"> tajomník vynáša</w:t>
      </w:r>
    </w:p>
    <w:p w:rsidR="00D1291A" w:rsidRPr="00C12676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Default="00D1291A" w:rsidP="00AD2C28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ROZHODNUTIE</w:t>
      </w:r>
    </w:p>
    <w:p w:rsidR="00E67648" w:rsidRPr="00C1345A" w:rsidRDefault="00D1291A" w:rsidP="00E67648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 ROZVRHNUTÍ ROZPOČTOVÝCH PROSTRIEDKOV POKRAJINSKÉHO SEKRETARIÁTU VZDELÁVANIA, PREDPISOV, SPRÁVY A NÁRODNOSTNÝCH MENŠÍN – NÁRODNOSTNÝCH SPOLOČENSTIEV NA FINANCOVANIE A SPOLUFINANCOVANIE REKONŠTRUKCIE, ÚPRAVY, SANÁCIE, INVESTÍČNÚ A BEŽNÚ ÚDRŽBU OBJEKTOV STREDNEJ VÝCHOVY A VZDELÁVANIA NA ÚZEMÍ AUTONÓMNEJ POKRAJINY VOJVODINY NA ROK 2023, KTORÉ  NEUTRPELI ŠKODU V DÔSLEDKU POVETERNOSTNÝCH KATASTROF</w:t>
      </w:r>
    </w:p>
    <w:p w:rsidR="00D1291A" w:rsidRPr="001D2378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F93FE3" w:rsidRPr="006B0EBE" w:rsidRDefault="00F93FE3" w:rsidP="00F93FE3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Týmto rozhodnutím sa určuje rozdelenie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</w:t>
      </w:r>
      <w:r>
        <w:rPr>
          <w:rFonts w:ascii="Calibri" w:hAnsi="Calibri"/>
          <w:b/>
          <w:bCs/>
          <w:sz w:val="22"/>
          <w:szCs w:val="22"/>
        </w:rPr>
        <w:t>ustanovizniam strednej výchovy a vzdelávania</w:t>
      </w:r>
      <w:r>
        <w:rPr>
          <w:rFonts w:ascii="Calibri" w:hAnsi="Calibri"/>
          <w:sz w:val="22"/>
          <w:szCs w:val="22"/>
        </w:rPr>
        <w:t xml:space="preserve"> podľa</w:t>
      </w:r>
      <w:r>
        <w:rPr>
          <w:rFonts w:ascii="Calibri" w:hAnsi="Calibri"/>
          <w:i/>
          <w:iCs/>
          <w:sz w:val="22"/>
          <w:szCs w:val="22"/>
        </w:rPr>
        <w:t xml:space="preserve"> Súbehu na financovanie a spolufinancovanie rekonštrukcie, adaptácie, sanácie, investície a bežnej údržby objektov ustanovizní základnej a strednej výchovy a vzdelávania na území Autonómnej </w:t>
      </w:r>
      <w:proofErr w:type="spellStart"/>
      <w:r>
        <w:rPr>
          <w:rFonts w:ascii="Calibri" w:hAnsi="Calibri"/>
          <w:i/>
          <w:iCs/>
          <w:sz w:val="22"/>
          <w:szCs w:val="22"/>
        </w:rPr>
        <w:t>pokrajiny</w:t>
      </w:r>
      <w:proofErr w:type="spellEnd"/>
      <w:r>
        <w:rPr>
          <w:rFonts w:ascii="Calibri" w:hAnsi="Calibri"/>
          <w:i/>
          <w:iCs/>
          <w:sz w:val="22"/>
          <w:szCs w:val="22"/>
        </w:rPr>
        <w:t xml:space="preserve"> Vojvodiny na rok 2023 číslo 128-454-531/2023-04 zo dňa 12. 7. 2023 s Rozhodnutím o doplnení súbehu na financovanie a spolufinancovanie rekonštrukcie, adaptácie, sanácie, investície a bežnej údržby objektov ustanovizní základnej a strednej výchovy a vzdelávania na území Autonómnej </w:t>
      </w:r>
      <w:proofErr w:type="spellStart"/>
      <w:r>
        <w:rPr>
          <w:rFonts w:ascii="Calibri" w:hAnsi="Calibri"/>
          <w:i/>
          <w:iCs/>
          <w:sz w:val="22"/>
          <w:szCs w:val="22"/>
        </w:rPr>
        <w:t>pokrajiny</w:t>
      </w:r>
      <w:proofErr w:type="spellEnd"/>
      <w:r>
        <w:rPr>
          <w:rFonts w:ascii="Calibri" w:hAnsi="Calibri"/>
          <w:i/>
          <w:iCs/>
          <w:sz w:val="22"/>
          <w:szCs w:val="22"/>
        </w:rPr>
        <w:t xml:space="preserve"> Vojvodiny na rok 2023, číslo 128-454-531/2023-04, ktoré bolo zverejnené dňa 12. 7. 2023 číslo 128-454-531/2023-04 zo dňa 25. 7. 2023 (ďalej:</w:t>
      </w:r>
      <w:r>
        <w:rPr>
          <w:rFonts w:ascii="Calibri" w:hAnsi="Calibri"/>
          <w:i/>
          <w:sz w:val="22"/>
          <w:szCs w:val="22"/>
        </w:rPr>
        <w:t xml:space="preserve"> súbeh)</w:t>
      </w:r>
      <w:r>
        <w:rPr>
          <w:rFonts w:ascii="Calibri" w:hAnsi="Calibri"/>
          <w:sz w:val="22"/>
          <w:szCs w:val="22"/>
        </w:rPr>
        <w:t xml:space="preserve"> PRE OBJEKTY USTANOVIZNÍ STREDNEJ VÝCHOVY A VZDELÁVANIA, KTORÉ  NEUTRPELI ŠKODU V DÔSLEDKU POVETERNOSTNÝCH KATASTROF.</w:t>
      </w:r>
    </w:p>
    <w:p w:rsidR="00D1291A" w:rsidRPr="00DA299C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DA299C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AD2C28" w:rsidRDefault="00D1291A" w:rsidP="008576E9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Súbehom sa určilo spolu </w:t>
      </w:r>
      <w:r>
        <w:rPr>
          <w:rFonts w:ascii="Calibri" w:hAnsi="Calibri"/>
          <w:b/>
          <w:bCs/>
          <w:sz w:val="22"/>
          <w:szCs w:val="22"/>
        </w:rPr>
        <w:t>400 000 000,00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dinárov</w:t>
      </w:r>
      <w:r>
        <w:rPr>
          <w:rFonts w:ascii="Calibri" w:hAnsi="Calibri"/>
          <w:sz w:val="22"/>
          <w:szCs w:val="22"/>
        </w:rPr>
        <w:t xml:space="preserve"> pre všetky stupne vzdelávania a v rámci toho </w:t>
      </w:r>
      <w:r>
        <w:rPr>
          <w:rFonts w:ascii="Calibri" w:hAnsi="Calibri"/>
          <w:b/>
          <w:bCs/>
          <w:sz w:val="22"/>
          <w:szCs w:val="22"/>
        </w:rPr>
        <w:t>80 000 000,00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dinárov</w:t>
      </w:r>
      <w:r>
        <w:rPr>
          <w:rFonts w:ascii="Calibri" w:hAnsi="Calibri"/>
          <w:sz w:val="22"/>
          <w:szCs w:val="22"/>
        </w:rPr>
        <w:t xml:space="preserve"> pre stupeň stredoškolskej výchovy a vzdelávania. </w:t>
      </w:r>
    </w:p>
    <w:p w:rsidR="00D1291A" w:rsidRPr="00DC2FAE" w:rsidRDefault="00816A3D" w:rsidP="008E0E51">
      <w:pPr>
        <w:ind w:left="142" w:firstLine="56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Týmto rozhodnutím sa rozdeľujú finančné prostriedky pre ustanovizne stredoškolskej výchovy a vzdelávania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Vojvodiny, ktoré neutrpeli škodu v dôsledku poveternostných katastrof v celkovej výške </w:t>
      </w:r>
      <w:r>
        <w:rPr>
          <w:rFonts w:ascii="Calibri" w:hAnsi="Calibri"/>
          <w:b/>
          <w:bCs/>
          <w:sz w:val="22"/>
          <w:szCs w:val="22"/>
        </w:rPr>
        <w:t>11 141 053,00</w:t>
      </w:r>
      <w:r>
        <w:rPr>
          <w:rFonts w:ascii="Calibri" w:hAnsi="Calibri"/>
          <w:sz w:val="22"/>
          <w:szCs w:val="22"/>
        </w:rPr>
        <w:t xml:space="preserve"> dinárov.</w:t>
      </w:r>
    </w:p>
    <w:p w:rsidR="00E26BE6" w:rsidRDefault="00AD2C28" w:rsidP="00E26BE6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 pridelenie finančných prostriedkov pre stupeň strednej výchovy a vzdelávania v rámci toho istého súbehu, pre objekty, ktoré utrpeli škodu v dôsledku poveternostných katastrof, bolo vynesené osobitné </w:t>
      </w:r>
      <w:r>
        <w:rPr>
          <w:rFonts w:ascii="Calibri" w:hAnsi="Calibri"/>
          <w:sz w:val="22"/>
          <w:szCs w:val="22"/>
        </w:rPr>
        <w:lastRenderedPageBreak/>
        <w:t>rozhodnutie pod číslom 128-454-531/2023-04/2 zo dňa 15. 8. 2023 vo výške 68 764 532,00 dinárov.  Ostatné je nerozvrhnuté 94 415,00 dinárov.</w:t>
      </w:r>
    </w:p>
    <w:p w:rsidR="00D1291A" w:rsidRPr="00DA299C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Prostriedky sa schvaľujú ustanovizniam stredoškolskej výchovy a vzdelávania (ďalej len: užívatelia) v súlade s predloženou tabuľkou 4. ROZVRHNUTIE PROSTRIEDKOV </w:t>
      </w:r>
      <w:r>
        <w:rPr>
          <w:rFonts w:ascii="Calibri" w:hAnsi="Calibri"/>
          <w:sz w:val="22"/>
          <w:szCs w:val="22"/>
        </w:rPr>
        <w:cr/>
      </w:r>
      <w:r>
        <w:rPr>
          <w:rFonts w:ascii="Calibri" w:hAnsi="Calibri"/>
          <w:sz w:val="22"/>
          <w:szCs w:val="22"/>
        </w:rPr>
        <w:br/>
        <w:t>NA FINANCOVANIE A SPOLUFINANCOVANIE REKONŠTRUKCIE, ADAPTÁCIE, SANÁCIE, INVESTIČNEJ A BEŽNEJ ÚDRŽBY OBJEKTOV USTANOVIZNÍ STREDOŠKOLSKEJ VÝCHOVY A VZDELÁVANIA NA ÚZEMÍ AUTONÓMNEJ POKRAJINY VOJVODINY NA ROK 2023, KTORÉ NEUTRPELI ŠKODU V DÔSLEDKU POVETERNOSTÝCH KATASTROF, ktoré je neoddeliteľnou súčasťou tohto rozhodnutia.</w:t>
      </w:r>
    </w:p>
    <w:p w:rsidR="00D1291A" w:rsidRPr="00DA299C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Pr="007210D6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B15400" w:rsidRPr="00B15400" w:rsidRDefault="00D1291A" w:rsidP="00B15400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Prostriedky z bodu II. tohto rozhodnutia sú určené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Pokrajinským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parlamentným uznesením o rozpočte Autonómnej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pokrajiny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Vojvodiny na rok 2023, v osobitnom oddiele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Pokrajinského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sekretariátu vzdelávania, predpisov, správy a národnostných menšín – národnostných spoločenstiev (ďalej len: sekretariát), a to: 11 141 053,00 dinárov pre Program 2004 – Stredné vzdelávanie, Programová aktivita 1005 – Modernizácia infraštruktúry stredných škôl, funkčná klasifikácia 920, ekonomická klasifikácia 4632 – Kapitálové transfery ostatným stupňom verejnej správy, zdroj financovania 01 00 – Všeobecné príjmy a rozpočtové príjmy, a prevedené užívateľom v súlade s prílevom finančných prostriedkov do rozpočtu AP Vojvodiny, teda s likvidnými rozpočtovými možnosťami.</w:t>
      </w:r>
    </w:p>
    <w:p w:rsidR="00B15400" w:rsidRDefault="00B15400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  <w:lang w:val="sr-Cyrl-RS"/>
        </w:rPr>
      </w:pPr>
    </w:p>
    <w:p w:rsidR="00D1291A" w:rsidRPr="00383214" w:rsidRDefault="00D1291A" w:rsidP="00B15400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22C37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1291A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D1291A" w:rsidRPr="001F3FC2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informuje príjemcov o rozvrhnutí finančných prostriedkov, ktoré sú určené týmto rozhodnutím.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8931E3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1291A" w:rsidRPr="008931E3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Toto rozhodnutie je konečné a proti nemu nemožno podať sťažnosť.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Za výkon tohto rozhodnutia je zodpovedný Sektor materiálnych a finančných úkonov sekretariátu.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Rozhodnutie doručiť:</w:t>
      </w:r>
    </w:p>
    <w:p w:rsidR="00FE0351" w:rsidRDefault="00D1291A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 materiálnych</w:t>
      </w:r>
    </w:p>
    <w:p w:rsidR="00D1291A" w:rsidRDefault="00D1291A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finančných úkonov sekretariátu</w:t>
      </w:r>
    </w:p>
    <w:p w:rsidR="00D1291A" w:rsidRDefault="0007516D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Archívu</w:t>
      </w:r>
    </w:p>
    <w:p w:rsidR="00FE0351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bookmarkStart w:id="0" w:name="_GoBack"/>
      <w:bookmarkEnd w:id="0"/>
    </w:p>
    <w:tbl>
      <w:tblPr>
        <w:tblW w:w="3145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45"/>
      </w:tblGrid>
      <w:tr w:rsidR="00FD7F22" w:rsidRPr="00913DCE" w:rsidTr="00310234">
        <w:trPr>
          <w:trHeight w:val="741"/>
        </w:trPr>
        <w:tc>
          <w:tcPr>
            <w:tcW w:w="3145" w:type="dxa"/>
            <w:tcBorders>
              <w:bottom w:val="nil"/>
            </w:tcBorders>
          </w:tcPr>
          <w:p w:rsidR="00FD7F22" w:rsidRPr="0052063D" w:rsidRDefault="00FD7F22" w:rsidP="007251B4">
            <w:pPr>
              <w:pStyle w:val="BodyTextIndent"/>
              <w:jc w:val="center"/>
              <w:rPr>
                <w:rFonts w:ascii="Calibri" w:hAnsi="Calibri" w:cs="Tahoma"/>
                <w:bCs/>
                <w:sz w:val="22"/>
                <w:szCs w:val="22"/>
              </w:rPr>
            </w:pPr>
            <w:r w:rsidRPr="0052063D">
              <w:rPr>
                <w:rFonts w:ascii="Calibri" w:hAnsi="Calibri"/>
                <w:bCs/>
                <w:sz w:val="22"/>
                <w:szCs w:val="22"/>
              </w:rPr>
              <w:t>POKRAJINSKÝ TAJOMNÍK</w:t>
            </w:r>
          </w:p>
        </w:tc>
      </w:tr>
      <w:tr w:rsidR="00FD7F22" w:rsidRPr="00913DCE" w:rsidTr="00310234">
        <w:trPr>
          <w:trHeight w:val="434"/>
        </w:trPr>
        <w:tc>
          <w:tcPr>
            <w:tcW w:w="3145" w:type="dxa"/>
            <w:tcBorders>
              <w:bottom w:val="single" w:sz="4" w:space="0" w:color="auto"/>
            </w:tcBorders>
            <w:vAlign w:val="center"/>
          </w:tcPr>
          <w:p w:rsidR="00FD7F22" w:rsidRPr="00913DCE" w:rsidRDefault="00FD7F22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FD7F22" w:rsidRPr="00B37BD4" w:rsidTr="00310234">
        <w:trPr>
          <w:trHeight w:val="581"/>
        </w:trPr>
        <w:tc>
          <w:tcPr>
            <w:tcW w:w="3145" w:type="dxa"/>
            <w:tcBorders>
              <w:top w:val="single" w:sz="4" w:space="0" w:color="auto"/>
              <w:bottom w:val="nil"/>
            </w:tcBorders>
          </w:tcPr>
          <w:p w:rsidR="00FD7F22" w:rsidRPr="00913DCE" w:rsidRDefault="00310234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</w:t>
            </w:r>
            <w:r w:rsidR="00FD7F22">
              <w:rPr>
                <w:rFonts w:ascii="Calibri" w:hAnsi="Calibri"/>
                <w:sz w:val="22"/>
                <w:szCs w:val="20"/>
              </w:rPr>
              <w:t xml:space="preserve">Zsolt </w:t>
            </w:r>
            <w:proofErr w:type="spellStart"/>
            <w:r w:rsidR="00FD7F22">
              <w:rPr>
                <w:rFonts w:ascii="Calibri" w:hAnsi="Calibri"/>
                <w:sz w:val="22"/>
                <w:szCs w:val="20"/>
              </w:rPr>
              <w:t>Szakállas</w:t>
            </w:r>
            <w:proofErr w:type="spellEnd"/>
          </w:p>
          <w:p w:rsidR="00FD7F22" w:rsidRPr="00B37BD4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F721B0">
      <w:headerReference w:type="even" r:id="rId9"/>
      <w:headerReference w:type="default" r:id="rId10"/>
      <w:pgSz w:w="12240" w:h="15840"/>
      <w:pgMar w:top="993" w:right="1183" w:bottom="142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4AB" w:rsidRDefault="008974AB">
      <w:r>
        <w:separator/>
      </w:r>
    </w:p>
  </w:endnote>
  <w:endnote w:type="continuationSeparator" w:id="0">
    <w:p w:rsidR="008974AB" w:rsidRDefault="00897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4AB" w:rsidRDefault="008974AB">
      <w:r>
        <w:separator/>
      </w:r>
    </w:p>
  </w:footnote>
  <w:footnote w:type="continuationSeparator" w:id="0">
    <w:p w:rsidR="008974AB" w:rsidRDefault="00897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7516D"/>
    <w:rsid w:val="0008173F"/>
    <w:rsid w:val="000972B0"/>
    <w:rsid w:val="00097AD8"/>
    <w:rsid w:val="000A074F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48FD"/>
    <w:rsid w:val="00196E5A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0234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177D1"/>
    <w:rsid w:val="0052063D"/>
    <w:rsid w:val="00540176"/>
    <w:rsid w:val="00541125"/>
    <w:rsid w:val="00553800"/>
    <w:rsid w:val="0055754F"/>
    <w:rsid w:val="0055783B"/>
    <w:rsid w:val="005752E4"/>
    <w:rsid w:val="00582C9E"/>
    <w:rsid w:val="0059185A"/>
    <w:rsid w:val="00594DF0"/>
    <w:rsid w:val="005D479F"/>
    <w:rsid w:val="005E012E"/>
    <w:rsid w:val="005E1631"/>
    <w:rsid w:val="005E3580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E0745"/>
    <w:rsid w:val="006E13F1"/>
    <w:rsid w:val="006F3E67"/>
    <w:rsid w:val="006F58F3"/>
    <w:rsid w:val="006F5950"/>
    <w:rsid w:val="007039DB"/>
    <w:rsid w:val="007210D6"/>
    <w:rsid w:val="007234B6"/>
    <w:rsid w:val="00733073"/>
    <w:rsid w:val="0073500E"/>
    <w:rsid w:val="007371FF"/>
    <w:rsid w:val="00757218"/>
    <w:rsid w:val="007609AB"/>
    <w:rsid w:val="007710C4"/>
    <w:rsid w:val="007906D3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974AB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1AAE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0646"/>
    <w:rsid w:val="009D3210"/>
    <w:rsid w:val="009E14C7"/>
    <w:rsid w:val="00A241E9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E0609"/>
    <w:rsid w:val="00AE4C54"/>
    <w:rsid w:val="00AF35BE"/>
    <w:rsid w:val="00AF7915"/>
    <w:rsid w:val="00B15400"/>
    <w:rsid w:val="00B22101"/>
    <w:rsid w:val="00B22C37"/>
    <w:rsid w:val="00B249C2"/>
    <w:rsid w:val="00B25D00"/>
    <w:rsid w:val="00B32586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50A6B"/>
    <w:rsid w:val="00C546A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0D71"/>
    <w:rsid w:val="00DC15F2"/>
    <w:rsid w:val="00DC2BA2"/>
    <w:rsid w:val="00DC2FAE"/>
    <w:rsid w:val="00DC6558"/>
    <w:rsid w:val="00DD24FB"/>
    <w:rsid w:val="00DE5E80"/>
    <w:rsid w:val="00DF7859"/>
    <w:rsid w:val="00E04639"/>
    <w:rsid w:val="00E218FC"/>
    <w:rsid w:val="00E23186"/>
    <w:rsid w:val="00E23ABE"/>
    <w:rsid w:val="00E26BE6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969F3"/>
    <w:rsid w:val="00EA1662"/>
    <w:rsid w:val="00EA3B1C"/>
    <w:rsid w:val="00EB04F9"/>
    <w:rsid w:val="00EB547B"/>
    <w:rsid w:val="00EC7BCB"/>
    <w:rsid w:val="00EC7DE5"/>
    <w:rsid w:val="00EE009D"/>
    <w:rsid w:val="00EF0C6B"/>
    <w:rsid w:val="00EF4D6F"/>
    <w:rsid w:val="00EF6235"/>
    <w:rsid w:val="00F01428"/>
    <w:rsid w:val="00F10B4F"/>
    <w:rsid w:val="00F11720"/>
    <w:rsid w:val="00F11E37"/>
    <w:rsid w:val="00F303AE"/>
    <w:rsid w:val="00F430D3"/>
    <w:rsid w:val="00F565D2"/>
    <w:rsid w:val="00F721B0"/>
    <w:rsid w:val="00F72B78"/>
    <w:rsid w:val="00F90EB1"/>
    <w:rsid w:val="00F93EA6"/>
    <w:rsid w:val="00F93FE3"/>
    <w:rsid w:val="00F96764"/>
    <w:rsid w:val="00FA2EFB"/>
    <w:rsid w:val="00FA33DF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B18D67"/>
  <w15:docId w15:val="{55E53F01-4378-4283-9301-B21A771CC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sk-SK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sk-SK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sk-SK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5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Martina Bartosova</cp:lastModifiedBy>
  <cp:revision>15</cp:revision>
  <cp:lastPrinted>2023-08-22T08:00:00Z</cp:lastPrinted>
  <dcterms:created xsi:type="dcterms:W3CDTF">2023-08-17T09:19:00Z</dcterms:created>
  <dcterms:modified xsi:type="dcterms:W3CDTF">2023-08-23T10:08:00Z</dcterms:modified>
</cp:coreProperties>
</file>